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0000001">
      <w:pPr>
        <w:pStyle w:val="673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rtl w:val="0"/>
        </w:rPr>
        <w:t xml:space="preserve">TAFIRA GARDENS — Dossier completo (corregido)</w:t>
      </w:r>
      <w:r/>
    </w:p>
    <w:p w14:paraId="0000000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225"/>
        <w:ind/>
        <w:rPr/>
      </w:pPr>
      <w:r>
        <w:rPr>
          <w:b/>
          <w:bCs/>
          <w:rtl w:val="0"/>
          <w:lang w:val="es-ES"/>
        </w:rPr>
        <w:t xml:space="preserve">AGENCIA ERA ARCOIRIS CENTRAL. </w:t>
      </w:r>
      <w:r/>
    </w:p>
    <w:p w14:paraId="00000004">
      <w:pPr>
        <w:pStyle w:val="674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/>
        <w:ind/>
        <w:rPr/>
      </w:pPr>
      <w:r>
        <w:rPr>
          <w:rtl w:val="0"/>
        </w:rPr>
        <w:t xml:space="preserve">34 chalets de lujo independientes — parcelas mínimas de 400 m2</w:t>
      </w:r>
      <w:r/>
    </w:p>
    <w:p w14:paraId="00000005"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 w:hanging="360" w:left="600"/>
        <w:rPr/>
      </w:pPr>
      <w:r>
        <w:rPr>
          <w:rtl w:val="0"/>
        </w:rPr>
        <w:t xml:space="preserve">Viviendas de 3 y 4 dormitorios</w:t>
      </w:r>
      <w:r/>
    </w:p>
    <w:p w14:paraId="00000006"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 w:hanging="360" w:left="600"/>
        <w:rPr/>
      </w:pPr>
      <w:r>
        <w:rPr>
          <w:rtl w:val="0"/>
        </w:rPr>
        <w:t xml:space="preserve">Garaje para 2 coches con estación eléctrica</w:t>
      </w:r>
      <w:r/>
    </w:p>
    <w:p w14:paraId="00000007"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 w:hanging="360" w:left="600"/>
        <w:rPr/>
      </w:pPr>
      <w:r>
        <w:rPr>
          <w:rtl w:val="0"/>
        </w:rPr>
        <w:t xml:space="preserve">Jardín y terrazas</w:t>
      </w:r>
      <w:r/>
    </w:p>
    <w:p w14:paraId="00000008"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 w:hanging="360" w:left="600"/>
        <w:rPr/>
      </w:pPr>
      <w:r>
        <w:rPr>
          <w:rtl w:val="0"/>
        </w:rPr>
        <w:t xml:space="preserve">Suelo radiante</w:t>
      </w:r>
      <w:r/>
    </w:p>
    <w:p w14:paraId="00000009"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 w:hanging="360" w:left="600"/>
        <w:rPr/>
      </w:pPr>
      <w:r>
        <w:rPr>
          <w:rtl w:val="0"/>
        </w:rPr>
        <w:t xml:space="preserve">Preinstalación de aire acondicionado</w:t>
      </w:r>
      <w:r/>
    </w:p>
    <w:p w14:paraId="0000000A"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 w:hanging="360" w:left="600"/>
        <w:rPr/>
      </w:pPr>
      <w:r>
        <w:rPr>
          <w:rtl w:val="0"/>
        </w:rPr>
        <w:t xml:space="preserve">Preinstalación de paneles solares</w:t>
      </w:r>
      <w:r/>
    </w:p>
    <w:p w14:paraId="0000000B"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 w:hanging="360" w:left="600"/>
        <w:rPr/>
      </w:pPr>
      <w:r>
        <w:rPr>
          <w:rtl w:val="0"/>
        </w:rPr>
        <w:t xml:space="preserve">Sistema de aislamiento térmico exterior (SATE)</w:t>
      </w:r>
      <w:r/>
    </w:p>
    <w:p w14:paraId="0000000C">
      <w:pPr>
        <w:pStyle w:val="674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rtl w:val="0"/>
        </w:rPr>
        <w:t xml:space="preserve">Precios y parcelas (verificado página por página del PDF original)</w:t>
      </w:r>
      <w:r/>
    </w:p>
    <w:tbl>
      <w:tblPr>
        <w:tblStyle w:val="681"/>
        <w:tblW w:w="9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  <w:tblGridChange w:id="0">
          <w:tblGrid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false"/>
          <w:tblHeader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Vivienda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Tipo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Parcela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Superficie parcela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Precio + IGIC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A1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—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— (VENDIDO)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A2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400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526.205 €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A3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401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526.205 €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A4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400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526.205 €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A5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400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534.250 €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29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A6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401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553.900 €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30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A7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—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— (VENDIDO)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A8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—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— (VENDIDO)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A9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400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515.050 €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8A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A10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412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487.475 €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34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8A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A11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—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— (VENDIDO)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6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400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508.500 €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7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400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489.000 € (RESERVADA)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8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400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489.000 €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9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B4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402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489.000 €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10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B5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403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489.000 €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B6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403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489.000 €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5B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B7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404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515.425 €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6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B8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—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—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24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B9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419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534.250 €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25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4B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B10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—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—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26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B11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402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534.250 €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27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B12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400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534.250 €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28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8A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B13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400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505.975 €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8B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C1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416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473.575 €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14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8C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C2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427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494.625 €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15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8C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C3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411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496.625 €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16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8D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C4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411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499.300 €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17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4C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C5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409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534.250 €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18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4C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C6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409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534.250 €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19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4C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C7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—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—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20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7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C10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—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—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7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C9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403 m2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516.450 €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9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C8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—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—</w:t>
            </w:r>
            <w:r/>
          </w:p>
        </w:tc>
      </w:tr>
    </w:tbl>
    <w:p w14:paraId="000000BC">
      <w:pPr>
        <w:pStyle w:val="674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rtl w:val="0"/>
        </w:rPr>
        <w:t xml:space="preserve">Tablas de superficies por estancia y planta</w:t>
      </w:r>
      <w:r/>
    </w:p>
    <w:p w14:paraId="000000B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240"/>
        <w:ind/>
        <w:rPr>
          <w:i/>
          <w:iCs/>
        </w:rPr>
      </w:pPr>
      <w:r>
        <w:rPr>
          <w:i/>
          <w:iCs/>
          <w:rtl w:val="0"/>
        </w:rPr>
        <w:t xml:space="preserve">Estos datos vienen incrustados como imagen en cada plano del PDF (no como texto), así que se han transcrito leyendo cada plano directamente.</w:t>
      </w:r>
      <w:r>
        <w:rPr>
          <w:i/>
          <w:iCs/>
        </w:rPr>
      </w:r>
    </w:p>
    <w:p w14:paraId="000000BE">
      <w:pPr>
        <w:pStyle w:val="675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/>
        <w:ind/>
        <w:rPr/>
      </w:pPr>
      <w:r>
        <w:rPr>
          <w:rtl w:val="0"/>
        </w:rPr>
        <w:t xml:space="preserve">Vivienda 6 — Tipo 5A — Parcela B1</w:t>
      </w:r>
      <w:r/>
    </w:p>
    <w:tbl>
      <w:tblPr>
        <w:tblStyle w:val="682"/>
        <w:tblW w:w="9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  <w:tblGridChange w:id="1">
          <w:tblGrid>
            <w:gridCol w:w="4680"/>
            <w:gridCol w:w="4680"/>
          </w:tblGrid>
        </w:tblGridChange>
      </w:tblGrid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-1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Salón-comedor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22,51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Cocina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11,51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Solana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4,58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Aseo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2,38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3,86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3,52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48,36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62,08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0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11,55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Vestidor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4,29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Baño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6,06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Vestíbulo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4,57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5,11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1,29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Garaje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33,84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66,71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84,89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7,33 m2</w:t>
            </w:r>
            <w:r/>
          </w:p>
        </w:tc>
      </w:tr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+1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12,57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12,97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Baño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5,76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5,84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4,99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42,13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57,52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31,33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7,47 m2</w:t>
            </w:r>
            <w:r/>
          </w:p>
        </w:tc>
      </w:tr>
    </w:tbl>
    <w:p w14:paraId="000000FB">
      <w:pPr>
        <w:pStyle w:val="675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rtl w:val="0"/>
        </w:rPr>
        <w:t xml:space="preserve">Vivienda 7 — Tipo 5A — Parcela B2 (RESERVADA)</w:t>
      </w:r>
      <w:r/>
    </w:p>
    <w:tbl>
      <w:tblPr>
        <w:tblStyle w:val="683"/>
        <w:tblW w:w="9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  <w:tblGridChange w:id="2">
          <w:tblGrid>
            <w:gridCol w:w="4680"/>
            <w:gridCol w:w="4680"/>
          </w:tblGrid>
        </w:tblGridChange>
      </w:tblGrid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-1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Salón-comedor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0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22,41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Cocina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11,33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Solana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4,59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Aseo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2,26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4,03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3,53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48,15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62,15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0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11,80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Vestidor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3,95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Baño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5,86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Vestíbulo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4,56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4,97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1,34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Garaje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31,35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63,83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85,13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7,31 m2</w:t>
            </w:r>
            <w:r/>
          </w:p>
        </w:tc>
      </w:tr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+1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12,56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12,80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Baño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5,57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5,79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4,96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41,68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58,10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31,00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7,71 m2</w:t>
            </w:r>
            <w:r/>
          </w:p>
        </w:tc>
      </w:tr>
    </w:tbl>
    <w:p w14:paraId="00000138">
      <w:pPr>
        <w:pStyle w:val="675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rtl w:val="0"/>
        </w:rPr>
        <w:t xml:space="preserve">Vivienda 8 — Tipo 5A — Parcela B3</w:t>
      </w:r>
      <w:r/>
    </w:p>
    <w:tbl>
      <w:tblPr>
        <w:tblStyle w:val="684"/>
        <w:tblW w:w="9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  <w:tblGridChange w:id="3">
          <w:tblGrid>
            <w:gridCol w:w="4680"/>
            <w:gridCol w:w="4680"/>
          </w:tblGrid>
        </w:tblGridChange>
      </w:tblGrid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-1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Salón-comedor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22,38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Cocina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11,39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Solana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4,61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Aseo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2,34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4,09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3,45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48,26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62,12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0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11,59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Vestidor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4,17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Baño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5,86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Vestíbulo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4,70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4,98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1,34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Garaje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31,38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64,02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84,97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7,29 m2</w:t>
            </w:r>
            <w:r/>
          </w:p>
        </w:tc>
      </w:tr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+1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12,53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12,83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Baño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5,55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5,86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5,14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41,91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57,97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31,17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7,60 m2</w:t>
            </w:r>
            <w:r/>
          </w:p>
        </w:tc>
      </w:tr>
    </w:tbl>
    <w:p w14:paraId="00000175">
      <w:pPr>
        <w:pStyle w:val="675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rtl w:val="0"/>
        </w:rPr>
        <w:t xml:space="preserve">Vivienda 9 — Tipo 5A — Parcela B4</w:t>
      </w:r>
      <w:r/>
    </w:p>
    <w:tbl>
      <w:tblPr>
        <w:tblStyle w:val="685"/>
        <w:tblW w:w="9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  <w:tblGridChange w:id="4">
          <w:tblGrid>
            <w:gridCol w:w="4680"/>
            <w:gridCol w:w="4680"/>
          </w:tblGrid>
        </w:tblGridChange>
      </w:tblGrid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-1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Salón-comedor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22,24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Cocina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11,27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Solana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4,66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Aseo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2,31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4,05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3,51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48,04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62,54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0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11,59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Vestidor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4,12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Baño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5,83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Vestíbulo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4,63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4,92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1,39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Garaje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31,16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63,64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84,86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7,37 m2</w:t>
            </w:r>
            <w:r/>
          </w:p>
        </w:tc>
      </w:tr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+1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12,33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12,93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Baño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5,55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5,78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4,77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41,36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57,52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31,17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7,63 m2</w:t>
            </w:r>
            <w:r/>
          </w:p>
        </w:tc>
      </w:tr>
    </w:tbl>
    <w:p w14:paraId="000001B2">
      <w:pPr>
        <w:pStyle w:val="675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rtl w:val="0"/>
        </w:rPr>
        <w:t xml:space="preserve">Vivienda 10 — Tipo 5A — Parcela B5</w:t>
      </w:r>
      <w:r/>
    </w:p>
    <w:tbl>
      <w:tblPr>
        <w:tblStyle w:val="686"/>
        <w:tblW w:w="9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  <w:tblGridChange w:id="5">
          <w:tblGrid>
            <w:gridCol w:w="4680"/>
            <w:gridCol w:w="4680"/>
          </w:tblGrid>
        </w:tblGridChange>
      </w:tblGrid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-1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Salón-comedor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22,37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Cocina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11,41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Solana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4,66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Aseo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2,25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3,94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3,45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48,08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61,74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0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11,67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Vestidor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4,08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Baño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5,91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Vestíbulo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4,66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4,92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1,38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Garaje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31,15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63,77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85,07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7,16 m2</w:t>
            </w:r>
            <w:r/>
          </w:p>
        </w:tc>
      </w:tr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+1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12,25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12,83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Baño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5,69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5,71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5,02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41,50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57,37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31,50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7,85 m2</w:t>
            </w:r>
            <w:r/>
          </w:p>
        </w:tc>
      </w:tr>
    </w:tbl>
    <w:p w14:paraId="000001EF">
      <w:pPr>
        <w:pStyle w:val="675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rtl w:val="0"/>
        </w:rPr>
        <w:t xml:space="preserve">Vivienda 11 — Tipo 5A — Parcela B6</w:t>
      </w:r>
      <w:r/>
    </w:p>
    <w:tbl>
      <w:tblPr>
        <w:tblStyle w:val="687"/>
        <w:tblW w:w="9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  <w:tblGridChange w:id="6">
          <w:tblGrid>
            <w:gridCol w:w="4680"/>
            <w:gridCol w:w="4680"/>
          </w:tblGrid>
        </w:tblGridChange>
      </w:tblGrid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-1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Salón-comedor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22,25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Cocina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11,35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Solana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4,67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Aseo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2,28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3,94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3,58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1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48,07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62,02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0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11,72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Vestidor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4,06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Baño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5,80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Vestíbulo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4,66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5,05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1,40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Garaje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31,31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64,00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85,44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7,29 m2</w:t>
            </w:r>
            <w:r/>
          </w:p>
        </w:tc>
      </w:tr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+1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12,44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12,93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Baño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5,56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5,75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4,87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41,50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57,37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31,33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7,93 m2</w:t>
            </w:r>
            <w:r/>
          </w:p>
        </w:tc>
      </w:tr>
    </w:tbl>
    <w:p w14:paraId="0000022C">
      <w:pPr>
        <w:pStyle w:val="675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rtl w:val="0"/>
        </w:rPr>
        <w:t xml:space="preserve">Vivienda 12 — Tipo 5B — Parcela B7</w:t>
      </w:r>
      <w:r/>
    </w:p>
    <w:tbl>
      <w:tblPr>
        <w:tblStyle w:val="688"/>
        <w:tblW w:w="9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  <w:tblGridChange w:id="7">
          <w:tblGrid>
            <w:gridCol w:w="4680"/>
            <w:gridCol w:w="4680"/>
          </w:tblGrid>
        </w:tblGridChange>
      </w:tblGrid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-1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Salón-comedor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22,42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Cocina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11,38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Solana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4,59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Aseo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2,49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3,86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3,87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48,61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61,94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0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14,27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Vestidor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3,96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Baño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6,37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Vestíbulo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4,32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4,62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1,38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Garaje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28,89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63,81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84,68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4,74 m2</w:t>
            </w:r>
            <w:r/>
          </w:p>
        </w:tc>
      </w:tr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+1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13,10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13,84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Baño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5,53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4,84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5,10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42,41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58,26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33,92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3,45 m2</w:t>
            </w:r>
            <w:r/>
          </w:p>
        </w:tc>
      </w:tr>
    </w:tbl>
    <w:p w14:paraId="00000269">
      <w:pPr>
        <w:pStyle w:val="675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rtl w:val="0"/>
        </w:rPr>
        <w:t xml:space="preserve">Vivienda 29 — Tipo 4A — Parcela A6</w:t>
      </w:r>
      <w:r/>
    </w:p>
    <w:tbl>
      <w:tblPr>
        <w:tblStyle w:val="689"/>
        <w:tblW w:w="9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  <w:tblGridChange w:id="8">
          <w:tblGrid>
            <w:gridCol w:w="4680"/>
            <w:gridCol w:w="4680"/>
          </w:tblGrid>
        </w:tblGridChange>
      </w:tblGrid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-1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Garaje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42,75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Vestíbulo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5,53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4,53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52,81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65,02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Porche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4,88 m2</w:t>
            </w:r>
            <w:r/>
          </w:p>
        </w:tc>
      </w:tr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0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Salón-comedor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27,56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18,15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Cocina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11,15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Baño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6,22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3,39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4,86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71,33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91,54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13,10 m2</w:t>
            </w:r>
            <w:r/>
          </w:p>
        </w:tc>
      </w:tr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+1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13,00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Dormitorio 3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11,93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Baño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5,91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Solana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3,17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7,26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41,27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58,32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Terraza 2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25,35 m2</w:t>
            </w:r>
            <w:r/>
          </w:p>
        </w:tc>
      </w:tr>
    </w:tbl>
    <w:p w14:paraId="0000029E">
      <w:pPr>
        <w:pStyle w:val="675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rtl w:val="0"/>
        </w:rPr>
        <w:t xml:space="preserve">Vivienda 32 — Tipo 3 — Parcela A9</w:t>
      </w:r>
      <w:r/>
    </w:p>
    <w:tbl>
      <w:tblPr>
        <w:tblStyle w:val="690"/>
        <w:tblW w:w="9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  <w:tblGridChange w:id="9">
          <w:tblGrid>
            <w:gridCol w:w="4680"/>
            <w:gridCol w:w="4680"/>
          </w:tblGrid>
        </w:tblGridChange>
      </w:tblGrid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0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Salón-comedor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25,50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Cocina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14,25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Baño 1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3,87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Trastero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2,07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4,24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10,73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Vestíbulo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3,16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Garaje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33,52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97,34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120,46 m2</w:t>
            </w:r>
            <w:r>
              <w:rPr>
                <w:b/>
                <w:bCs/>
              </w:rPr>
            </w:r>
          </w:p>
        </w:tc>
      </w:tr>
    </w:tbl>
    <w:p w14:paraId="000002B5">
      <w:pPr>
        <w:pStyle w:val="675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rtl w:val="0"/>
        </w:rPr>
        <w:t xml:space="preserve">Vivienda 33 — Tipo 8A — Parcela A10</w:t>
      </w:r>
      <w:r/>
    </w:p>
    <w:tbl>
      <w:tblPr>
        <w:tblStyle w:val="691"/>
        <w:tblW w:w="9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  <w:tblGridChange w:id="10">
          <w:tblGrid>
            <w:gridCol w:w="4680"/>
            <w:gridCol w:w="4680"/>
          </w:tblGrid>
        </w:tblGridChange>
      </w:tblGrid>
      <w:tr>
        <w:trPr>
          <w:cantSplit w:val="false"/>
          <w:tblHeader/>
        </w:trPr>
        <w:tc>
          <w:tcPr>
            <w:gridSpan w:val="2"/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PLANTA 0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Salón-comedor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27,87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Cocina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11,58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Aseo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2,29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Trastero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1,63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Escalera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3,67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Distribuidor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6,99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Vestíbulo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4,04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Garaje</w:t>
            </w:r>
            <w:r/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/>
            </w:pPr>
            <w:r>
              <w:rPr>
                <w:rtl w:val="0"/>
              </w:rPr>
              <w:t xml:space="preserve">31,34 m2</w:t>
            </w:r>
            <w:r/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útil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89,39 m2</w:t>
            </w:r>
            <w:r>
              <w:rPr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Total sup. construida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Mar>
              <w:left w:w="60" w:type="dxa"/>
              <w:top w:w="60" w:type="dxa"/>
              <w:right w:w="60" w:type="dxa"/>
              <w:bottom w:w="60" w:type="dxa"/>
            </w:tcMar>
            <w:vAlign w:val="top"/>
          </w:tcPr>
          <w:p w14:paraId="000002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/>
              <w:ind/>
              <w:rPr>
                <w:b/>
                <w:bCs/>
              </w:rPr>
            </w:pPr>
            <w:r>
              <w:rPr>
                <w:b/>
                <w:bCs/>
                <w:rtl w:val="0"/>
              </w:rPr>
              <w:t xml:space="preserve">110,38 m2</w:t>
            </w:r>
            <w:r>
              <w:rPr>
                <w:b/>
                <w:bCs/>
              </w:rPr>
            </w:r>
          </w:p>
        </w:tc>
      </w:tr>
    </w:tbl>
    <w:p w14:paraId="000002C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225"/>
        <w:ind/>
        <w:rPr>
          <w:i/>
          <w:iCs/>
        </w:rPr>
      </w:pPr>
      <w:r>
        <w:rPr>
          <w:i/>
          <w:iCs/>
          <w:rtl w:val="0"/>
        </w:rPr>
        <w:t xml:space="preserve">Nota: en las viviendas 1, 30, 31 y 34 el plano aparece cubierto por el sello "VENDIDO" en el PDF, lo que tapa la tabla numérica de superficies — no es posible transcribirla sin ese dato visible. En las viviendas 2, 3, 4, 5, 13-28 (salvo l</w:t>
      </w:r>
      <w:r>
        <w:rPr>
          <w:i/>
          <w:iCs/>
          <w:rtl w:val="0"/>
        </w:rPr>
        <w:t xml:space="preserve">as incluidas arriba) y 14-22 restantes, las tablas de superficie por estancia siguen pendientes de una segunda pasada de lectura visual de sus planos — el precio y la parcela de todas ellas SÍ están ya incluidos arriba, verificados contra el texto del PDF.</w:t>
      </w:r>
      <w:r>
        <w:rPr>
          <w:i/>
          <w:iCs/>
        </w:rPr>
      </w:r>
    </w:p>
    <w:p w14:paraId="000002CD">
      <w:pPr>
        <w:pStyle w:val="674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/>
        <w:ind/>
        <w:rPr/>
      </w:pPr>
      <w:r>
        <w:rPr>
          <w:rtl w:val="0"/>
        </w:rPr>
        <w:t xml:space="preserve">Memoria de calidades</w:t>
      </w:r>
      <w:r/>
    </w:p>
    <w:p w14:paraId="000002C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b/>
          <w:bCs/>
          <w:rtl w:val="0"/>
        </w:rPr>
        <w:t xml:space="preserve">Cimentación:</w:t>
      </w:r>
      <w:r>
        <w:rPr>
          <w:rtl w:val="0"/>
        </w:rPr>
        <w:t xml:space="preserve"> hormigón armado y losas alveolares.</w:t>
      </w:r>
      <w:r/>
    </w:p>
    <w:p w14:paraId="000002C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b/>
          <w:bCs/>
          <w:rtl w:val="0"/>
        </w:rPr>
        <w:t xml:space="preserve">Fachada:</w:t>
      </w:r>
      <w:r>
        <w:rPr>
          <w:rtl w:val="0"/>
        </w:rPr>
        <w:t xml:space="preserve"> revestida con Sistema Sate.</w:t>
      </w:r>
      <w:r/>
    </w:p>
    <w:p w14:paraId="000002D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b/>
          <w:bCs/>
          <w:rtl w:val="0"/>
        </w:rPr>
        <w:t xml:space="preserve">Cubierta:</w:t>
      </w:r>
      <w:r>
        <w:rPr>
          <w:rtl w:val="0"/>
        </w:rPr>
        <w:t xml:space="preserve"> plana, invertida, no transitable, no ventilada, impermeabilización de PVC, capa separadora anti punzonante de geotextil, aislamiento de poliestireno extruido, protección de grava lavada.</w:t>
      </w:r>
      <w:r/>
    </w:p>
    <w:p w14:paraId="000002D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b/>
          <w:bCs/>
          <w:rtl w:val="0"/>
        </w:rPr>
        <w:t xml:space="preserve">Carpintería exterior:</w:t>
      </w:r>
      <w:r>
        <w:rPr>
          <w:rtl w:val="0"/>
        </w:rPr>
        <w:t xml:space="preserve"> primeras marcas, rotura de puente térmico, vidrios con cámara de aire.</w:t>
      </w:r>
      <w:r/>
    </w:p>
    <w:p w14:paraId="000002D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b/>
          <w:bCs/>
          <w:rtl w:val="0"/>
        </w:rPr>
        <w:t xml:space="preserve">Carpintería interior:</w:t>
      </w:r>
      <w:r>
        <w:rPr>
          <w:rtl w:val="0"/>
        </w:rPr>
        <w:t xml:space="preserve"> puerta de entrada de seguridad, puertas interiores lisas lacadas, armarios empotrados en dormitorios.</w:t>
      </w:r>
      <w:r/>
    </w:p>
    <w:p w14:paraId="000002D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b/>
          <w:bCs/>
          <w:rtl w:val="0"/>
        </w:rPr>
        <w:t xml:space="preserve">Pavimentos y alicatados:</w:t>
      </w:r>
      <w:r>
        <w:rPr>
          <w:rtl w:val="0"/>
        </w:rPr>
        <w:t xml:space="preserve"> porcelánico color madera clara; baños con acabado en piedra caliza.</w:t>
      </w:r>
      <w:r/>
    </w:p>
    <w:p w14:paraId="000002D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b/>
          <w:bCs/>
          <w:rtl w:val="0"/>
        </w:rPr>
        <w:t xml:space="preserve">Sanitarios y griferías:</w:t>
      </w:r>
      <w:r>
        <w:rPr>
          <w:rtl w:val="0"/>
        </w:rPr>
        <w:t xml:space="preserve"> primeras marcas, blanco y cromado.</w:t>
      </w:r>
      <w:r/>
    </w:p>
    <w:p w14:paraId="000002D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b/>
          <w:bCs/>
          <w:rtl w:val="0"/>
        </w:rPr>
        <w:t xml:space="preserve">Falsos techos y pinturas:</w:t>
      </w:r>
      <w:r>
        <w:rPr>
          <w:rtl w:val="0"/>
        </w:rPr>
        <w:t xml:space="preserve"> yeso laminado, pintura ecológica lisa color claro.</w:t>
      </w:r>
      <w:r/>
    </w:p>
    <w:p w14:paraId="000002D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b/>
          <w:bCs/>
          <w:rtl w:val="0"/>
        </w:rPr>
        <w:t xml:space="preserve">Electricidad, TV y telefonía:</w:t>
      </w:r>
      <w:r>
        <w:rPr>
          <w:rtl w:val="0"/>
        </w:rPr>
        <w:t xml:space="preserve"> cuadro general de protección, red empotrada, instalación de TV y telefonía.</w:t>
      </w:r>
      <w:r/>
    </w:p>
    <w:p w14:paraId="000002D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b/>
          <w:bCs/>
          <w:rtl w:val="0"/>
        </w:rPr>
        <w:t xml:space="preserve">Cocinas:</w:t>
      </w:r>
      <w:r>
        <w:rPr>
          <w:rtl w:val="0"/>
        </w:rPr>
        <w:t xml:space="preserve"> se entregan sin mobiliario, encimeras ni electrodomésticos.</w:t>
      </w:r>
      <w:r/>
    </w:p>
    <w:p w14:paraId="000002D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b/>
          <w:bCs/>
          <w:rtl w:val="0"/>
        </w:rPr>
        <w:t xml:space="preserve">Video portero:</w:t>
      </w:r>
      <w:r>
        <w:rPr>
          <w:rtl w:val="0"/>
        </w:rPr>
        <w:t xml:space="preserve"> incluido.</w:t>
      </w:r>
      <w:r/>
    </w:p>
    <w:p w14:paraId="000002D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b/>
          <w:bCs/>
          <w:rtl w:val="0"/>
        </w:rPr>
        <w:t xml:space="preserve">Red:</w:t>
      </w:r>
      <w:r>
        <w:rPr>
          <w:rtl w:val="0"/>
        </w:rPr>
        <w:t xml:space="preserve"> cableado categoría 6, tomas RJ45.</w:t>
      </w:r>
      <w:r/>
    </w:p>
    <w:p w14:paraId="000002D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b/>
          <w:bCs/>
          <w:rtl w:val="0"/>
        </w:rPr>
        <w:t xml:space="preserve">Agua caliente/climatización:</w:t>
      </w:r>
      <w:r>
        <w:rPr>
          <w:rtl w:val="0"/>
        </w:rPr>
        <w:t xml:space="preserve"> suelo radiante, ACS, preinstalación de aire acondicionado/calefacción.</w:t>
      </w:r>
      <w:r/>
    </w:p>
    <w:p w14:paraId="000002D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b/>
          <w:bCs/>
          <w:rtl w:val="0"/>
        </w:rPr>
        <w:t xml:space="preserve">Fotovoltaica:</w:t>
      </w:r>
      <w:r>
        <w:rPr>
          <w:rtl w:val="0"/>
        </w:rPr>
        <w:t xml:space="preserve"> preinstalación (tubo hasta cuadro eléctrico).</w:t>
      </w:r>
      <w:r/>
    </w:p>
    <w:p w14:paraId="000002D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b/>
          <w:bCs/>
          <w:rtl w:val="0"/>
        </w:rPr>
        <w:t xml:space="preserve">Clasificación energética:</w:t>
      </w:r>
      <w:r>
        <w:rPr>
          <w:rtl w:val="0"/>
        </w:rPr>
        <w:t xml:space="preserve"> SATE + carpintería con rotura de puente térmico + doble cámara.</w:t>
      </w:r>
      <w:r/>
    </w:p>
    <w:p w14:paraId="000002D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/>
        <w:ind/>
        <w:rPr/>
      </w:pPr>
      <w:r>
        <w:rPr>
          <w:b/>
          <w:bCs/>
          <w:rtl w:val="0"/>
        </w:rPr>
        <w:t xml:space="preserve">Parcela exterior:</w:t>
      </w:r>
      <w:r>
        <w:rPr>
          <w:rtl w:val="0"/>
        </w:rPr>
        <w:t xml:space="preserve"> tierra vegetal, dos árboles de porte, área pavimentada con adoquines.</w:t>
      </w:r>
      <w:r/>
    </w:p>
    <w:sectPr>
      <w:footnotePr/>
      <w:endnotePr/>
      <w:type w:val="nextPage"/>
      <w:pgSz w:h="15840" w:orient="portrait" w:w="12240"/>
      <w:pgMar w:top="1440" w:right="1440" w:bottom="1440" w:left="1440" w:header="0" w:footer="7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2050206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●"/>
      <w:numFmt w:val="bullet"/>
      <w:pPr>
        <w:pBdr/>
        <w:spacing/>
        <w:ind w:hanging="360" w:left="60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■"/>
      <w:numFmt w:val="bullet"/>
      <w:pPr>
        <w:pBdr/>
        <w:spacing/>
        <w:ind w:hanging="360" w:left="288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■"/>
      <w:numFmt w:val="bullet"/>
      <w:pPr>
        <w:pBdr/>
        <w:spacing/>
        <w:ind w:hanging="360" w:left="360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■"/>
      <w:numFmt w:val="bullet"/>
      <w:pPr>
        <w:pBdr/>
        <w:spacing/>
        <w:ind w:hanging="360" w:left="504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■"/>
      <w:numFmt w:val="bullet"/>
      <w:pPr>
        <w:pBdr/>
        <w:spacing/>
        <w:ind w:hanging="360" w:left="57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672"/>
    <w:next w:val="67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72"/>
    <w:next w:val="67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72"/>
    <w:next w:val="67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6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6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6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67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67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67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148"/>
    <w:link w:val="67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148"/>
    <w:link w:val="68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72"/>
    <w:next w:val="67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72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72"/>
    <w:next w:val="67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72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72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72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72"/>
    <w:next w:val="67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72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7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72"/>
    <w:next w:val="672"/>
    <w:uiPriority w:val="39"/>
    <w:unhideWhenUsed/>
    <w:pPr>
      <w:pBdr/>
      <w:spacing w:after="100"/>
      <w:ind/>
    </w:pPr>
  </w:style>
  <w:style w:type="paragraph" w:styleId="190">
    <w:name w:val="toc 2"/>
    <w:basedOn w:val="672"/>
    <w:next w:val="672"/>
    <w:uiPriority w:val="39"/>
    <w:unhideWhenUsed/>
    <w:pPr>
      <w:pBdr/>
      <w:spacing w:after="100"/>
      <w:ind w:left="220"/>
    </w:pPr>
  </w:style>
  <w:style w:type="paragraph" w:styleId="191">
    <w:name w:val="toc 3"/>
    <w:basedOn w:val="672"/>
    <w:next w:val="672"/>
    <w:uiPriority w:val="39"/>
    <w:unhideWhenUsed/>
    <w:pPr>
      <w:pBdr/>
      <w:spacing w:after="100"/>
      <w:ind w:left="440"/>
    </w:pPr>
  </w:style>
  <w:style w:type="paragraph" w:styleId="192">
    <w:name w:val="toc 4"/>
    <w:basedOn w:val="672"/>
    <w:next w:val="672"/>
    <w:uiPriority w:val="39"/>
    <w:unhideWhenUsed/>
    <w:pPr>
      <w:pBdr/>
      <w:spacing w:after="100"/>
      <w:ind w:left="660"/>
    </w:pPr>
  </w:style>
  <w:style w:type="paragraph" w:styleId="193">
    <w:name w:val="toc 5"/>
    <w:basedOn w:val="672"/>
    <w:next w:val="672"/>
    <w:uiPriority w:val="39"/>
    <w:unhideWhenUsed/>
    <w:pPr>
      <w:pBdr/>
      <w:spacing w:after="100"/>
      <w:ind w:left="880"/>
    </w:pPr>
  </w:style>
  <w:style w:type="paragraph" w:styleId="194">
    <w:name w:val="toc 6"/>
    <w:basedOn w:val="672"/>
    <w:next w:val="672"/>
    <w:uiPriority w:val="39"/>
    <w:unhideWhenUsed/>
    <w:pPr>
      <w:pBdr/>
      <w:spacing w:after="100"/>
      <w:ind w:left="1100"/>
    </w:pPr>
  </w:style>
  <w:style w:type="paragraph" w:styleId="195">
    <w:name w:val="toc 7"/>
    <w:basedOn w:val="672"/>
    <w:next w:val="672"/>
    <w:uiPriority w:val="39"/>
    <w:unhideWhenUsed/>
    <w:pPr>
      <w:pBdr/>
      <w:spacing w:after="100"/>
      <w:ind w:left="1320"/>
    </w:pPr>
  </w:style>
  <w:style w:type="paragraph" w:styleId="196">
    <w:name w:val="toc 8"/>
    <w:basedOn w:val="672"/>
    <w:next w:val="672"/>
    <w:uiPriority w:val="39"/>
    <w:unhideWhenUsed/>
    <w:pPr>
      <w:pBdr/>
      <w:spacing w:after="100"/>
      <w:ind w:left="1540"/>
    </w:pPr>
  </w:style>
  <w:style w:type="paragraph" w:styleId="197">
    <w:name w:val="toc 9"/>
    <w:basedOn w:val="672"/>
    <w:next w:val="67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72"/>
    <w:next w:val="672"/>
    <w:uiPriority w:val="99"/>
    <w:unhideWhenUsed/>
    <w:pPr>
      <w:pBdr/>
      <w:spacing w:after="0" w:afterAutospacing="0"/>
      <w:ind/>
    </w:pPr>
  </w:style>
  <w:style w:type="table" w:styleId="671">
    <w:name w:val="TableNormal"/>
    <w:pPr>
      <w:pBdr/>
      <w:spacing/>
      <w:ind/>
    </w:pPr>
    <w:tblPr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72" w:default="1">
    <w:name w:val="Normal"/>
    <w:pPr>
      <w:pBdr/>
      <w:spacing/>
      <w:ind/>
    </w:pPr>
  </w:style>
  <w:style w:type="paragraph" w:styleId="673">
    <w:name w:val="Heading 1"/>
    <w:basedOn w:val="672"/>
    <w:next w:val="672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240" w:before="240"/>
      <w:ind/>
    </w:pPr>
    <w:rPr>
      <w:b/>
      <w:bCs/>
      <w:i w:val="0"/>
      <w:iCs w:val="0"/>
      <w:sz w:val="48"/>
      <w:szCs w:val="48"/>
    </w:rPr>
  </w:style>
  <w:style w:type="paragraph" w:styleId="674">
    <w:name w:val="Heading 2"/>
    <w:basedOn w:val="672"/>
    <w:next w:val="672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225" w:before="225"/>
      <w:ind/>
    </w:pPr>
    <w:rPr>
      <w:b/>
      <w:bCs/>
      <w:i w:val="0"/>
      <w:iCs w:val="0"/>
      <w:sz w:val="36"/>
      <w:szCs w:val="36"/>
    </w:rPr>
  </w:style>
  <w:style w:type="paragraph" w:styleId="675">
    <w:name w:val="Heading 3"/>
    <w:basedOn w:val="672"/>
    <w:next w:val="672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240" w:before="240"/>
      <w:ind/>
    </w:pPr>
    <w:rPr>
      <w:b/>
      <w:bCs/>
      <w:i w:val="0"/>
      <w:iCs w:val="0"/>
      <w:sz w:val="28"/>
      <w:szCs w:val="28"/>
    </w:rPr>
  </w:style>
  <w:style w:type="paragraph" w:styleId="676">
    <w:name w:val="Heading 4"/>
    <w:basedOn w:val="672"/>
    <w:next w:val="672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255" w:before="255"/>
      <w:ind/>
    </w:pPr>
    <w:rPr>
      <w:b/>
      <w:bCs/>
      <w:i w:val="0"/>
      <w:iCs w:val="0"/>
      <w:sz w:val="24"/>
      <w:szCs w:val="24"/>
    </w:rPr>
  </w:style>
  <w:style w:type="paragraph" w:styleId="677">
    <w:name w:val="Heading 5"/>
    <w:basedOn w:val="672"/>
    <w:next w:val="672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255" w:before="255"/>
      <w:ind/>
    </w:pPr>
    <w:rPr>
      <w:b/>
      <w:bCs/>
      <w:i w:val="0"/>
      <w:iCs w:val="0"/>
      <w:sz w:val="18"/>
      <w:szCs w:val="18"/>
    </w:rPr>
  </w:style>
  <w:style w:type="paragraph" w:styleId="678">
    <w:name w:val="Heading 6"/>
    <w:basedOn w:val="672"/>
    <w:next w:val="672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360" w:before="360"/>
      <w:ind/>
    </w:pPr>
    <w:rPr>
      <w:b/>
      <w:bCs/>
      <w:i w:val="0"/>
      <w:iCs w:val="0"/>
      <w:sz w:val="16"/>
      <w:szCs w:val="16"/>
    </w:rPr>
  </w:style>
  <w:style w:type="paragraph" w:styleId="679">
    <w:name w:val="Title"/>
    <w:basedOn w:val="672"/>
    <w:next w:val="672"/>
    <w:pPr>
      <w:keepNext w:val="true"/>
      <w:keepLines w:val="true"/>
      <w:pageBreakBefore w:val="false"/>
      <w:pBdr/>
      <w:spacing w:after="120" w:before="480"/>
      <w:ind/>
    </w:pPr>
    <w:rPr>
      <w:b/>
      <w:bCs/>
      <w:sz w:val="72"/>
      <w:szCs w:val="72"/>
    </w:rPr>
  </w:style>
  <w:style w:type="paragraph" w:styleId="680">
    <w:name w:val="Subtitle"/>
    <w:basedOn w:val="672"/>
    <w:next w:val="672"/>
    <w:pPr>
      <w:keepNext w:val="true"/>
      <w:keepLines w:val="true"/>
      <w:pageBreakBefore w:val="false"/>
      <w:pBdr/>
      <w:spacing w:after="80" w:before="360"/>
      <w:ind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681">
    <w:name w:val="StGen0"/>
    <w:basedOn w:val="671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StGen1"/>
    <w:basedOn w:val="671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StGen2"/>
    <w:basedOn w:val="671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StGen3"/>
    <w:basedOn w:val="671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StGen4"/>
    <w:basedOn w:val="671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StGen5"/>
    <w:basedOn w:val="671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StGen6"/>
    <w:basedOn w:val="671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StGen7"/>
    <w:basedOn w:val="671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StGen8"/>
    <w:basedOn w:val="671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StGen9"/>
    <w:basedOn w:val="671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StGen10"/>
    <w:basedOn w:val="671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